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13" w:rsidRPr="00EC53AF" w:rsidRDefault="00B63213" w:rsidP="00B63213">
      <w:pPr>
        <w:suppressAutoHyphens/>
        <w:ind w:right="-1"/>
        <w:rPr>
          <w:sz w:val="8"/>
          <w:lang w:val="en-US"/>
        </w:rPr>
      </w:pPr>
    </w:p>
    <w:p w:rsidR="00B63213" w:rsidRDefault="00B63213" w:rsidP="00B63213">
      <w:pPr>
        <w:suppressAutoHyphens/>
        <w:ind w:right="-1"/>
        <w:jc w:val="center"/>
        <w:rPr>
          <w:sz w:val="8"/>
        </w:rPr>
      </w:pPr>
    </w:p>
    <w:p w:rsidR="00B63213" w:rsidRDefault="00B63213" w:rsidP="00B63213">
      <w:pPr>
        <w:suppressAutoHyphens/>
        <w:ind w:right="-1"/>
        <w:jc w:val="center"/>
        <w:rPr>
          <w:sz w:val="8"/>
        </w:rPr>
      </w:pPr>
    </w:p>
    <w:p w:rsidR="00B63213" w:rsidRDefault="00B63213" w:rsidP="00B63213">
      <w:pPr>
        <w:suppressAutoHyphens/>
        <w:ind w:right="-1"/>
        <w:jc w:val="center"/>
        <w:rPr>
          <w:sz w:val="8"/>
        </w:rPr>
      </w:pPr>
    </w:p>
    <w:p w:rsidR="00B63213" w:rsidRDefault="00B63213" w:rsidP="00B63213">
      <w:pPr>
        <w:suppressAutoHyphens/>
        <w:ind w:right="-1"/>
        <w:jc w:val="center"/>
        <w:rPr>
          <w:sz w:val="8"/>
        </w:rPr>
      </w:pPr>
    </w:p>
    <w:p w:rsidR="00B63213" w:rsidRDefault="00B63213" w:rsidP="00B63213">
      <w:pPr>
        <w:suppressAutoHyphens/>
        <w:ind w:right="-1"/>
        <w:jc w:val="center"/>
        <w:rPr>
          <w:sz w:val="8"/>
        </w:rPr>
      </w:pPr>
    </w:p>
    <w:p w:rsidR="00B63213" w:rsidRDefault="00B63213" w:rsidP="00B63213">
      <w:pPr>
        <w:pStyle w:val="a8"/>
        <w:suppressAutoHyphens/>
        <w:ind w:right="-1"/>
        <w:rPr>
          <w:sz w:val="16"/>
        </w:rPr>
      </w:pPr>
    </w:p>
    <w:p w:rsidR="00B63213" w:rsidRPr="0062060F" w:rsidRDefault="00B63213" w:rsidP="00B63213">
      <w:pPr>
        <w:pStyle w:val="3"/>
        <w:ind w:firstLine="0"/>
        <w:rPr>
          <w:sz w:val="28"/>
          <w:szCs w:val="28"/>
        </w:rPr>
      </w:pPr>
      <w:r w:rsidRPr="0062060F">
        <w:rPr>
          <w:sz w:val="28"/>
          <w:szCs w:val="28"/>
        </w:rPr>
        <w:t>ТЕРРИТОРИАЛЬНАЯ ИЗБИРАТЕЛЬНАЯ КОМИССИЯ</w:t>
      </w:r>
    </w:p>
    <w:p w:rsidR="00B63213" w:rsidRPr="0062060F" w:rsidRDefault="00781F38" w:rsidP="00B6321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</w:t>
      </w:r>
      <w:r w:rsidR="00B63213" w:rsidRPr="0062060F">
        <w:rPr>
          <w:sz w:val="28"/>
          <w:szCs w:val="28"/>
        </w:rPr>
        <w:t xml:space="preserve"> ЗВЕРЕВО РОСТОВСКОЙ ОБЛАСТИ</w:t>
      </w:r>
    </w:p>
    <w:p w:rsidR="00B63213" w:rsidRPr="0062060F" w:rsidRDefault="00B63213" w:rsidP="00B63213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67"/>
        <w:gridCol w:w="5039"/>
      </w:tblGrid>
      <w:tr w:rsidR="00B63213" w:rsidRPr="0062060F" w:rsidTr="00FC05E9">
        <w:tc>
          <w:tcPr>
            <w:tcW w:w="9606" w:type="dxa"/>
            <w:gridSpan w:val="2"/>
            <w:hideMark/>
          </w:tcPr>
          <w:p w:rsidR="00B63213" w:rsidRPr="0062060F" w:rsidRDefault="00B63213" w:rsidP="00FC05E9">
            <w:pPr>
              <w:jc w:val="center"/>
              <w:rPr>
                <w:b/>
                <w:szCs w:val="28"/>
              </w:rPr>
            </w:pPr>
            <w:r w:rsidRPr="0062060F">
              <w:rPr>
                <w:b/>
                <w:szCs w:val="28"/>
              </w:rPr>
              <w:t>ПОСТАНОВЛЕНИЕ</w:t>
            </w:r>
          </w:p>
        </w:tc>
      </w:tr>
      <w:tr w:rsidR="00B63213" w:rsidRPr="0062060F" w:rsidTr="00FC05E9">
        <w:tc>
          <w:tcPr>
            <w:tcW w:w="4567" w:type="dxa"/>
            <w:hideMark/>
          </w:tcPr>
          <w:p w:rsidR="00B63213" w:rsidRPr="0062060F" w:rsidRDefault="00FE5EC6" w:rsidP="00FC05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B63213">
              <w:rPr>
                <w:b/>
                <w:szCs w:val="28"/>
              </w:rPr>
              <w:t>.09.</w:t>
            </w:r>
            <w:r w:rsidR="00B63213" w:rsidRPr="0062060F">
              <w:rPr>
                <w:b/>
                <w:szCs w:val="28"/>
              </w:rPr>
              <w:t>2020г.</w:t>
            </w:r>
            <w:r w:rsidR="00B63213">
              <w:rPr>
                <w:b/>
                <w:szCs w:val="28"/>
              </w:rPr>
              <w:t xml:space="preserve">                </w:t>
            </w:r>
          </w:p>
        </w:tc>
        <w:tc>
          <w:tcPr>
            <w:tcW w:w="5039" w:type="dxa"/>
            <w:hideMark/>
          </w:tcPr>
          <w:p w:rsidR="00B63213" w:rsidRPr="0062060F" w:rsidRDefault="00B63213" w:rsidP="00A932AD">
            <w:pPr>
              <w:jc w:val="right"/>
              <w:rPr>
                <w:b/>
                <w:szCs w:val="28"/>
              </w:rPr>
            </w:pPr>
            <w:r w:rsidRPr="0062060F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 w:rsidR="00FE5EC6">
              <w:rPr>
                <w:b/>
                <w:szCs w:val="28"/>
              </w:rPr>
              <w:t>16-</w:t>
            </w:r>
            <w:r w:rsidR="00A932AD">
              <w:rPr>
                <w:b/>
                <w:szCs w:val="28"/>
              </w:rPr>
              <w:t>3</w:t>
            </w:r>
            <w:bookmarkStart w:id="0" w:name="_GoBack"/>
            <w:bookmarkEnd w:id="0"/>
          </w:p>
        </w:tc>
      </w:tr>
      <w:tr w:rsidR="00B63213" w:rsidRPr="0062060F" w:rsidTr="00FC05E9">
        <w:tc>
          <w:tcPr>
            <w:tcW w:w="9606" w:type="dxa"/>
            <w:gridSpan w:val="2"/>
          </w:tcPr>
          <w:p w:rsidR="00B63213" w:rsidRPr="0062060F" w:rsidRDefault="00B63213" w:rsidP="00FC05E9">
            <w:pPr>
              <w:tabs>
                <w:tab w:val="left" w:pos="6750"/>
              </w:tabs>
              <w:jc w:val="center"/>
              <w:rPr>
                <w:szCs w:val="28"/>
              </w:rPr>
            </w:pPr>
            <w:r w:rsidRPr="0062060F">
              <w:rPr>
                <w:szCs w:val="28"/>
              </w:rPr>
              <w:t>г. Зверево</w:t>
            </w:r>
          </w:p>
        </w:tc>
      </w:tr>
    </w:tbl>
    <w:p w:rsidR="00B63213" w:rsidRDefault="00B63213" w:rsidP="00B63213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B63213" w:rsidTr="00FC05E9">
        <w:trPr>
          <w:trHeight w:val="1549"/>
        </w:trPr>
        <w:tc>
          <w:tcPr>
            <w:tcW w:w="5387" w:type="dxa"/>
            <w:shd w:val="clear" w:color="auto" w:fill="auto"/>
          </w:tcPr>
          <w:p w:rsidR="009D2231" w:rsidRPr="009D2231" w:rsidRDefault="009D2231" w:rsidP="009D2231">
            <w:pPr>
              <w:suppressAutoHyphens/>
              <w:jc w:val="both"/>
              <w:rPr>
                <w:b/>
                <w:szCs w:val="28"/>
              </w:rPr>
            </w:pPr>
            <w:r w:rsidRPr="009D2231">
              <w:rPr>
                <w:b/>
                <w:szCs w:val="28"/>
              </w:rPr>
              <w:t xml:space="preserve">О распределении </w:t>
            </w:r>
            <w:r w:rsidR="00A932AD" w:rsidRPr="00A932AD">
              <w:rPr>
                <w:b/>
                <w:szCs w:val="28"/>
              </w:rPr>
              <w:t xml:space="preserve">специальных знаков (марок) для избирательных бюллетеней для голосования </w:t>
            </w:r>
            <w:r w:rsidRPr="009D2231">
              <w:rPr>
                <w:b/>
                <w:szCs w:val="28"/>
              </w:rPr>
              <w:t>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      </w:r>
          </w:p>
          <w:p w:rsidR="005D26F8" w:rsidRPr="00B41E0F" w:rsidRDefault="005D26F8" w:rsidP="00781F38">
            <w:pPr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B63213" w:rsidRDefault="009D2231" w:rsidP="00A932AD">
      <w:pPr>
        <w:pStyle w:val="a6"/>
        <w:tabs>
          <w:tab w:val="left" w:pos="9498"/>
        </w:tabs>
        <w:suppressAutoHyphens/>
        <w:spacing w:line="360" w:lineRule="auto"/>
        <w:ind w:right="-23" w:firstLine="709"/>
        <w:jc w:val="both"/>
        <w:rPr>
          <w:b w:val="0"/>
          <w:spacing w:val="0"/>
          <w:sz w:val="28"/>
        </w:rPr>
      </w:pPr>
      <w:r w:rsidRPr="009D2231">
        <w:rPr>
          <w:b w:val="0"/>
          <w:spacing w:val="0"/>
          <w:sz w:val="28"/>
        </w:rPr>
        <w:t xml:space="preserve">В соответствии с </w:t>
      </w:r>
      <w:r>
        <w:rPr>
          <w:b w:val="0"/>
          <w:spacing w:val="0"/>
          <w:sz w:val="28"/>
        </w:rPr>
        <w:t xml:space="preserve">порядком </w:t>
      </w:r>
      <w:r w:rsidR="00A932AD" w:rsidRPr="00A932AD">
        <w:rPr>
          <w:b w:val="0"/>
          <w:spacing w:val="0"/>
          <w:sz w:val="28"/>
        </w:rPr>
        <w:t>изготовления, доставки, передачи и использования специальных знаков (марок) для избирательных бюллетеней для голосования на выборах депутатов Государствен</w:t>
      </w:r>
      <w:r w:rsidR="00A932AD">
        <w:rPr>
          <w:b w:val="0"/>
          <w:spacing w:val="0"/>
          <w:sz w:val="28"/>
        </w:rPr>
        <w:t xml:space="preserve">ной Думы Федерального Собрания </w:t>
      </w:r>
      <w:r w:rsidR="00A932AD" w:rsidRPr="00A932AD">
        <w:rPr>
          <w:b w:val="0"/>
          <w:spacing w:val="0"/>
          <w:sz w:val="28"/>
        </w:rPr>
        <w:t>Российской Федерации восьмого созыва</w:t>
      </w:r>
      <w:r>
        <w:rPr>
          <w:b w:val="0"/>
          <w:spacing w:val="0"/>
          <w:sz w:val="28"/>
        </w:rPr>
        <w:t xml:space="preserve">, утвержденном </w:t>
      </w:r>
      <w:r w:rsidRPr="009D2231">
        <w:rPr>
          <w:b w:val="0"/>
          <w:spacing w:val="0"/>
          <w:sz w:val="28"/>
        </w:rPr>
        <w:t>постановлением Центральной избирательно</w:t>
      </w:r>
      <w:r>
        <w:rPr>
          <w:b w:val="0"/>
          <w:spacing w:val="0"/>
          <w:sz w:val="28"/>
        </w:rPr>
        <w:t xml:space="preserve">й комиссии Российской Федерации </w:t>
      </w:r>
      <w:r w:rsidR="00A932AD">
        <w:rPr>
          <w:b w:val="0"/>
          <w:spacing w:val="0"/>
          <w:sz w:val="28"/>
        </w:rPr>
        <w:t>от 28 апреля 2021 г. № 4/31</w:t>
      </w:r>
      <w:r w:rsidRPr="009D2231">
        <w:rPr>
          <w:b w:val="0"/>
          <w:spacing w:val="0"/>
          <w:sz w:val="28"/>
        </w:rPr>
        <w:t>-8</w:t>
      </w:r>
      <w:r>
        <w:rPr>
          <w:b w:val="0"/>
          <w:spacing w:val="0"/>
          <w:sz w:val="28"/>
        </w:rPr>
        <w:t>,</w:t>
      </w:r>
    </w:p>
    <w:p w:rsidR="00B63213" w:rsidRPr="00434C6B" w:rsidRDefault="00B63213" w:rsidP="009D2231">
      <w:pPr>
        <w:pStyle w:val="a9"/>
        <w:spacing w:after="0" w:line="276" w:lineRule="auto"/>
        <w:ind w:left="0"/>
        <w:rPr>
          <w:szCs w:val="28"/>
        </w:rPr>
      </w:pPr>
      <w:r w:rsidRPr="00434C6B">
        <w:rPr>
          <w:szCs w:val="28"/>
        </w:rPr>
        <w:t>Территориальная избирательная комиссия города Зверево</w:t>
      </w:r>
      <w:r>
        <w:rPr>
          <w:szCs w:val="28"/>
        </w:rPr>
        <w:t xml:space="preserve"> Ростовской области</w:t>
      </w:r>
    </w:p>
    <w:p w:rsidR="00B63213" w:rsidRPr="00434C6B" w:rsidRDefault="00B63213" w:rsidP="00B63213">
      <w:pPr>
        <w:pStyle w:val="a9"/>
        <w:spacing w:after="0" w:line="276" w:lineRule="auto"/>
        <w:ind w:firstLine="360"/>
        <w:rPr>
          <w:szCs w:val="28"/>
        </w:rPr>
      </w:pPr>
    </w:p>
    <w:p w:rsidR="00B63213" w:rsidRDefault="00B63213" w:rsidP="00B63213">
      <w:pPr>
        <w:pStyle w:val="a9"/>
        <w:spacing w:after="0" w:line="276" w:lineRule="auto"/>
        <w:ind w:left="2832" w:firstLine="360"/>
        <w:rPr>
          <w:b/>
          <w:szCs w:val="28"/>
        </w:rPr>
      </w:pPr>
      <w:r w:rsidRPr="0062060F">
        <w:rPr>
          <w:b/>
          <w:szCs w:val="28"/>
        </w:rPr>
        <w:t>ПОСТАНОВЛЯЕТ:</w:t>
      </w:r>
    </w:p>
    <w:p w:rsidR="00B63213" w:rsidRPr="0062060F" w:rsidRDefault="00B63213" w:rsidP="00B63213">
      <w:pPr>
        <w:pStyle w:val="a9"/>
        <w:spacing w:after="0" w:line="276" w:lineRule="auto"/>
        <w:ind w:left="2832" w:firstLine="360"/>
        <w:rPr>
          <w:b/>
          <w:szCs w:val="28"/>
        </w:rPr>
      </w:pPr>
    </w:p>
    <w:p w:rsidR="009D2231" w:rsidRDefault="009D2231" w:rsidP="00B63213">
      <w:pPr>
        <w:tabs>
          <w:tab w:val="left" w:pos="9355"/>
        </w:tabs>
        <w:spacing w:line="276" w:lineRule="auto"/>
        <w:ind w:right="-5" w:firstLine="851"/>
        <w:jc w:val="both"/>
      </w:pPr>
      <w:r w:rsidRPr="009D2231">
        <w:t xml:space="preserve">1. Передать в участковые избирательные комиссии по акту следующее количество </w:t>
      </w:r>
      <w:r w:rsidR="00A932AD" w:rsidRPr="00A932AD">
        <w:t>специальных знаков (марок) для избирательных бюллетеней для голосования</w:t>
      </w:r>
      <w:r w:rsidRPr="009D2231">
        <w:t xml:space="preserve"> на выборах депутатов Государственной Думы Федерального Собрания Российской Федерации восьмого созыва: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701"/>
      </w:tblGrid>
      <w:tr w:rsidR="009D2231" w:rsidRPr="009D2231" w:rsidTr="008837E4">
        <w:trPr>
          <w:trHeight w:val="610"/>
        </w:trPr>
        <w:tc>
          <w:tcPr>
            <w:tcW w:w="1985" w:type="dxa"/>
            <w:vMerge w:val="restart"/>
            <w:vAlign w:val="center"/>
          </w:tcPr>
          <w:p w:rsidR="009D2231" w:rsidRPr="009D2231" w:rsidRDefault="009D2231" w:rsidP="009D2231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2231">
              <w:rPr>
                <w:rFonts w:eastAsia="Calibri"/>
                <w:b/>
                <w:sz w:val="22"/>
                <w:szCs w:val="22"/>
                <w:lang w:eastAsia="en-US"/>
              </w:rPr>
              <w:t>Номер избирательного участка</w:t>
            </w:r>
          </w:p>
        </w:tc>
        <w:tc>
          <w:tcPr>
            <w:tcW w:w="1984" w:type="dxa"/>
            <w:vMerge w:val="restart"/>
            <w:vAlign w:val="center"/>
          </w:tcPr>
          <w:p w:rsidR="009D2231" w:rsidRPr="009D2231" w:rsidRDefault="009D2231" w:rsidP="009D2231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2231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9D2231" w:rsidRPr="009D2231" w:rsidRDefault="009D2231" w:rsidP="009D2231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2231">
              <w:rPr>
                <w:rFonts w:eastAsia="Calibri"/>
                <w:b/>
                <w:sz w:val="22"/>
                <w:szCs w:val="22"/>
                <w:lang w:eastAsia="en-US"/>
              </w:rPr>
              <w:t>и номер одномандатного избирательного округа</w:t>
            </w:r>
          </w:p>
        </w:tc>
        <w:tc>
          <w:tcPr>
            <w:tcW w:w="1985" w:type="dxa"/>
            <w:vMerge w:val="restart"/>
            <w:vAlign w:val="center"/>
          </w:tcPr>
          <w:p w:rsidR="009D2231" w:rsidRPr="009D2231" w:rsidRDefault="009D2231" w:rsidP="009D2231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2231">
              <w:rPr>
                <w:rFonts w:eastAsia="Calibri"/>
                <w:b/>
                <w:sz w:val="22"/>
                <w:szCs w:val="22"/>
                <w:lang w:eastAsia="en-US"/>
              </w:rPr>
              <w:t>Число избирателей</w:t>
            </w:r>
          </w:p>
        </w:tc>
        <w:tc>
          <w:tcPr>
            <w:tcW w:w="3402" w:type="dxa"/>
            <w:gridSpan w:val="2"/>
            <w:vAlign w:val="center"/>
          </w:tcPr>
          <w:p w:rsidR="009D2231" w:rsidRPr="009D2231" w:rsidRDefault="009D2231" w:rsidP="00A932AD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2231">
              <w:rPr>
                <w:rFonts w:eastAsia="Calibri"/>
                <w:b/>
                <w:sz w:val="22"/>
                <w:szCs w:val="22"/>
                <w:lang w:eastAsia="en-US"/>
              </w:rPr>
              <w:t>Количес</w:t>
            </w:r>
            <w:r w:rsidR="00A932AD">
              <w:rPr>
                <w:rFonts w:eastAsia="Calibri"/>
                <w:b/>
                <w:sz w:val="22"/>
                <w:szCs w:val="22"/>
                <w:lang w:eastAsia="en-US"/>
              </w:rPr>
              <w:t>тво передаваемых марок</w:t>
            </w:r>
          </w:p>
        </w:tc>
      </w:tr>
      <w:tr w:rsidR="009D2231" w:rsidRPr="009D2231" w:rsidTr="00805206">
        <w:trPr>
          <w:cantSplit/>
          <w:trHeight w:val="2094"/>
        </w:trPr>
        <w:tc>
          <w:tcPr>
            <w:tcW w:w="1985" w:type="dxa"/>
            <w:vMerge/>
            <w:vAlign w:val="center"/>
          </w:tcPr>
          <w:p w:rsidR="009D2231" w:rsidRPr="009D2231" w:rsidRDefault="009D2231" w:rsidP="009D2231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9D2231" w:rsidRPr="009D2231" w:rsidRDefault="009D2231" w:rsidP="009D2231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9D2231" w:rsidRPr="009D2231" w:rsidRDefault="009D2231" w:rsidP="009D2231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9D2231" w:rsidRPr="009D2231" w:rsidRDefault="009D2231" w:rsidP="009D2231">
            <w:pPr>
              <w:tabs>
                <w:tab w:val="left" w:pos="993"/>
              </w:tabs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2231">
              <w:rPr>
                <w:rFonts w:eastAsia="Calibri"/>
                <w:b/>
                <w:sz w:val="22"/>
                <w:szCs w:val="22"/>
                <w:lang w:eastAsia="en-US"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9D2231" w:rsidRPr="009D2231" w:rsidRDefault="009D2231" w:rsidP="009D2231">
            <w:pPr>
              <w:tabs>
                <w:tab w:val="left" w:pos="993"/>
              </w:tabs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2231">
              <w:rPr>
                <w:rFonts w:eastAsia="Calibri"/>
                <w:b/>
                <w:sz w:val="22"/>
                <w:szCs w:val="22"/>
                <w:lang w:eastAsia="en-US"/>
              </w:rPr>
              <w:t>по федеральному избирательному округу</w:t>
            </w:r>
          </w:p>
        </w:tc>
      </w:tr>
      <w:tr w:rsidR="00805206" w:rsidRPr="009D2231" w:rsidTr="00805206">
        <w:trPr>
          <w:trHeight w:val="350"/>
        </w:trPr>
        <w:tc>
          <w:tcPr>
            <w:tcW w:w="1985" w:type="dxa"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631</w:t>
            </w:r>
          </w:p>
        </w:tc>
        <w:tc>
          <w:tcPr>
            <w:tcW w:w="1984" w:type="dxa"/>
            <w:vMerge w:val="restart"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05206">
              <w:rPr>
                <w:rFonts w:eastAsia="Calibri"/>
                <w:sz w:val="24"/>
                <w:szCs w:val="24"/>
                <w:lang w:eastAsia="en-US"/>
              </w:rPr>
              <w:t xml:space="preserve">Шахтинский одномандатный </w:t>
            </w:r>
            <w:r w:rsidRPr="00805206">
              <w:rPr>
                <w:rFonts w:eastAsia="Calibri"/>
                <w:sz w:val="24"/>
                <w:szCs w:val="24"/>
                <w:lang w:eastAsia="en-US"/>
              </w:rPr>
              <w:lastRenderedPageBreak/>
              <w:t>избирательный округ № 154</w:t>
            </w:r>
          </w:p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lastRenderedPageBreak/>
              <w:t>1015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710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710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632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1057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740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740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633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1057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740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740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634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1092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764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764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635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1078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755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755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636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1065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746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746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637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1153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807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807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638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1099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769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769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639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1267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887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887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1261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883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883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641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1122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785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785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1113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779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779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2627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1041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729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729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2628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1206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844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844</w:t>
            </w:r>
          </w:p>
        </w:tc>
      </w:tr>
      <w:tr w:rsidR="00805206" w:rsidRPr="009D2231" w:rsidTr="008837E4">
        <w:tc>
          <w:tcPr>
            <w:tcW w:w="1985" w:type="dxa"/>
          </w:tcPr>
          <w:p w:rsidR="00805206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2629</w:t>
            </w:r>
          </w:p>
        </w:tc>
        <w:tc>
          <w:tcPr>
            <w:tcW w:w="1984" w:type="dxa"/>
            <w:vMerge/>
          </w:tcPr>
          <w:p w:rsidR="00805206" w:rsidRPr="009D2231" w:rsidRDefault="00805206" w:rsidP="00805206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1224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857</w:t>
            </w:r>
          </w:p>
        </w:tc>
        <w:tc>
          <w:tcPr>
            <w:tcW w:w="1701" w:type="dxa"/>
          </w:tcPr>
          <w:p w:rsidR="00805206" w:rsidRPr="00805206" w:rsidRDefault="00805206" w:rsidP="00805206">
            <w:pPr>
              <w:rPr>
                <w:sz w:val="24"/>
                <w:szCs w:val="24"/>
              </w:rPr>
            </w:pPr>
            <w:r w:rsidRPr="00805206">
              <w:rPr>
                <w:sz w:val="24"/>
                <w:szCs w:val="24"/>
              </w:rPr>
              <w:t>857</w:t>
            </w:r>
          </w:p>
        </w:tc>
      </w:tr>
      <w:tr w:rsidR="009D2231" w:rsidRPr="009D2231" w:rsidTr="008837E4">
        <w:trPr>
          <w:trHeight w:val="329"/>
        </w:trPr>
        <w:tc>
          <w:tcPr>
            <w:tcW w:w="3969" w:type="dxa"/>
            <w:gridSpan w:val="2"/>
          </w:tcPr>
          <w:p w:rsidR="009D2231" w:rsidRPr="009D2231" w:rsidRDefault="009D2231" w:rsidP="009D2231">
            <w:pPr>
              <w:tabs>
                <w:tab w:val="left" w:pos="993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D2231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9D2231" w:rsidRPr="009D2231" w:rsidRDefault="00805206" w:rsidP="009D2231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05206">
              <w:rPr>
                <w:rFonts w:eastAsia="Calibri"/>
                <w:sz w:val="24"/>
                <w:szCs w:val="24"/>
                <w:lang w:eastAsia="en-US"/>
              </w:rPr>
              <w:t>16850</w:t>
            </w:r>
          </w:p>
        </w:tc>
        <w:tc>
          <w:tcPr>
            <w:tcW w:w="1701" w:type="dxa"/>
          </w:tcPr>
          <w:p w:rsidR="009D2231" w:rsidRPr="009D2231" w:rsidRDefault="00805206" w:rsidP="009D2231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05206">
              <w:rPr>
                <w:rFonts w:eastAsia="Calibri"/>
                <w:sz w:val="24"/>
                <w:szCs w:val="24"/>
                <w:lang w:eastAsia="en-US"/>
              </w:rPr>
              <w:t>11795</w:t>
            </w:r>
          </w:p>
        </w:tc>
        <w:tc>
          <w:tcPr>
            <w:tcW w:w="1701" w:type="dxa"/>
          </w:tcPr>
          <w:p w:rsidR="009D2231" w:rsidRPr="009D2231" w:rsidRDefault="00805206" w:rsidP="009D2231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05206">
              <w:rPr>
                <w:rFonts w:eastAsia="Calibri"/>
                <w:sz w:val="24"/>
                <w:szCs w:val="24"/>
                <w:lang w:eastAsia="en-US"/>
              </w:rPr>
              <w:t>11795</w:t>
            </w:r>
          </w:p>
        </w:tc>
      </w:tr>
    </w:tbl>
    <w:p w:rsidR="009D2231" w:rsidRDefault="009D2231" w:rsidP="00B63213">
      <w:pPr>
        <w:tabs>
          <w:tab w:val="left" w:pos="9355"/>
        </w:tabs>
        <w:spacing w:line="276" w:lineRule="auto"/>
        <w:ind w:right="-5" w:firstLine="851"/>
        <w:jc w:val="both"/>
      </w:pPr>
    </w:p>
    <w:p w:rsidR="00B63213" w:rsidRPr="00E4198A" w:rsidRDefault="009D2231" w:rsidP="00B63213">
      <w:pPr>
        <w:tabs>
          <w:tab w:val="left" w:pos="9355"/>
        </w:tabs>
        <w:spacing w:line="276" w:lineRule="auto"/>
        <w:ind w:right="-5" w:firstLine="851"/>
        <w:jc w:val="both"/>
        <w:rPr>
          <w:b/>
          <w:szCs w:val="28"/>
        </w:rPr>
      </w:pPr>
      <w:r>
        <w:rPr>
          <w:szCs w:val="28"/>
        </w:rPr>
        <w:t>2</w:t>
      </w:r>
      <w:r w:rsidR="00B63213" w:rsidRPr="00E4198A">
        <w:rPr>
          <w:szCs w:val="28"/>
        </w:rPr>
        <w:t>.</w:t>
      </w:r>
      <w:r w:rsidR="00B63213">
        <w:rPr>
          <w:b/>
          <w:szCs w:val="28"/>
        </w:rPr>
        <w:t xml:space="preserve"> </w:t>
      </w:r>
      <w:r w:rsidR="00B63213" w:rsidRPr="006C5151">
        <w:rPr>
          <w:szCs w:val="28"/>
        </w:rPr>
        <w:t xml:space="preserve">Контроль за исполнением данного постановления возложить на </w:t>
      </w:r>
      <w:r w:rsidR="00B63213">
        <w:rPr>
          <w:szCs w:val="28"/>
        </w:rPr>
        <w:t xml:space="preserve">секретаря </w:t>
      </w:r>
      <w:r w:rsidR="00B63213" w:rsidRPr="006C5151">
        <w:rPr>
          <w:szCs w:val="28"/>
        </w:rPr>
        <w:t xml:space="preserve">территориальной избирательной комиссии </w:t>
      </w:r>
      <w:r w:rsidR="00B63213" w:rsidRPr="00E46BF4">
        <w:rPr>
          <w:szCs w:val="28"/>
        </w:rPr>
        <w:t xml:space="preserve">города Зверево </w:t>
      </w:r>
      <w:r w:rsidR="00CA5830">
        <w:rPr>
          <w:szCs w:val="28"/>
        </w:rPr>
        <w:t>Е.Ю. Бондаренко</w:t>
      </w:r>
      <w:r w:rsidR="00B63213">
        <w:rPr>
          <w:szCs w:val="28"/>
        </w:rPr>
        <w:t>.</w:t>
      </w:r>
    </w:p>
    <w:p w:rsidR="00B63213" w:rsidRDefault="00B63213" w:rsidP="00805206">
      <w:pPr>
        <w:spacing w:line="360" w:lineRule="auto"/>
        <w:jc w:val="both"/>
      </w:pPr>
    </w:p>
    <w:p w:rsidR="00B63213" w:rsidRDefault="00B63213" w:rsidP="00B63213">
      <w:pPr>
        <w:spacing w:line="360" w:lineRule="auto"/>
        <w:ind w:firstLine="851"/>
        <w:jc w:val="both"/>
      </w:pPr>
    </w:p>
    <w:p w:rsidR="00B63213" w:rsidRDefault="00B63213" w:rsidP="00B63213">
      <w:pPr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С.В. Мироненко</w:t>
      </w:r>
    </w:p>
    <w:p w:rsidR="00B63213" w:rsidRDefault="00B63213" w:rsidP="00B63213">
      <w:pPr>
        <w:tabs>
          <w:tab w:val="left" w:pos="9355"/>
        </w:tabs>
        <w:ind w:right="-5"/>
        <w:jc w:val="both"/>
        <w:rPr>
          <w:szCs w:val="28"/>
        </w:rPr>
      </w:pPr>
    </w:p>
    <w:p w:rsidR="00B63213" w:rsidRDefault="00B63213" w:rsidP="00805206">
      <w:pPr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       </w:t>
      </w:r>
      <w:r w:rsidR="00805206">
        <w:rPr>
          <w:szCs w:val="28"/>
        </w:rPr>
        <w:t>Е.Ю. Бондаренко</w:t>
      </w:r>
    </w:p>
    <w:p w:rsidR="00805206" w:rsidRPr="00805206" w:rsidRDefault="00805206" w:rsidP="00805206">
      <w:pPr>
        <w:jc w:val="both"/>
        <w:rPr>
          <w:szCs w:val="28"/>
        </w:rPr>
        <w:sectPr w:rsidR="00805206" w:rsidRPr="00805206" w:rsidSect="005611F1">
          <w:headerReference w:type="even" r:id="rId6"/>
          <w:headerReference w:type="default" r:id="rId7"/>
          <w:pgSz w:w="11906" w:h="16838"/>
          <w:pgMar w:top="709" w:right="794" w:bottom="709" w:left="1588" w:header="454" w:footer="454" w:gutter="0"/>
          <w:cols w:space="720"/>
          <w:titlePg/>
        </w:sectPr>
      </w:pPr>
    </w:p>
    <w:p w:rsidR="00484535" w:rsidRDefault="00484535" w:rsidP="00805206">
      <w:pPr>
        <w:pStyle w:val="ConsPlusNonformat"/>
        <w:widowControl/>
      </w:pPr>
    </w:p>
    <w:sectPr w:rsidR="00484535" w:rsidSect="00471A89">
      <w:pgSz w:w="11906" w:h="16838"/>
      <w:pgMar w:top="709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AD" w:rsidRDefault="00EE26AD">
      <w:r>
        <w:separator/>
      </w:r>
    </w:p>
  </w:endnote>
  <w:endnote w:type="continuationSeparator" w:id="0">
    <w:p w:rsidR="00EE26AD" w:rsidRDefault="00EE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AD" w:rsidRDefault="00EE26AD">
      <w:r>
        <w:separator/>
      </w:r>
    </w:p>
  </w:footnote>
  <w:footnote w:type="continuationSeparator" w:id="0">
    <w:p w:rsidR="00EE26AD" w:rsidRDefault="00EE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F1" w:rsidRDefault="000D36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1F1" w:rsidRDefault="00EE26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F1" w:rsidRDefault="000D36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2AD">
      <w:rPr>
        <w:rStyle w:val="a5"/>
        <w:noProof/>
      </w:rPr>
      <w:t>2</w:t>
    </w:r>
    <w:r>
      <w:rPr>
        <w:rStyle w:val="a5"/>
      </w:rPr>
      <w:fldChar w:fldCharType="end"/>
    </w:r>
  </w:p>
  <w:p w:rsidR="005611F1" w:rsidRDefault="00EE26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13"/>
    <w:rsid w:val="000D365B"/>
    <w:rsid w:val="00187ED8"/>
    <w:rsid w:val="001A7429"/>
    <w:rsid w:val="0026448A"/>
    <w:rsid w:val="002910E7"/>
    <w:rsid w:val="003B5337"/>
    <w:rsid w:val="004340B5"/>
    <w:rsid w:val="00484535"/>
    <w:rsid w:val="005C4CCF"/>
    <w:rsid w:val="005D26F8"/>
    <w:rsid w:val="00657842"/>
    <w:rsid w:val="00781F38"/>
    <w:rsid w:val="007926E0"/>
    <w:rsid w:val="00805206"/>
    <w:rsid w:val="00952C83"/>
    <w:rsid w:val="009D2231"/>
    <w:rsid w:val="00A932AD"/>
    <w:rsid w:val="00B32C3F"/>
    <w:rsid w:val="00B63213"/>
    <w:rsid w:val="00CA0DB3"/>
    <w:rsid w:val="00CA5830"/>
    <w:rsid w:val="00D622B3"/>
    <w:rsid w:val="00EC53AF"/>
    <w:rsid w:val="00EE26AD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3356"/>
  <w15:chartTrackingRefBased/>
  <w15:docId w15:val="{8E46CA18-9AF3-47CA-B05E-D1DA6235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63213"/>
    <w:pPr>
      <w:keepNext/>
      <w:ind w:firstLine="1134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2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B6321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63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63213"/>
  </w:style>
  <w:style w:type="paragraph" w:styleId="a6">
    <w:name w:val="Body Text"/>
    <w:basedOn w:val="a"/>
    <w:link w:val="a7"/>
    <w:rsid w:val="00B63213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B63213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B63213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B63213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B63213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B63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63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53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5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cp:lastPrinted>2021-09-09T15:05:00Z</cp:lastPrinted>
  <dcterms:created xsi:type="dcterms:W3CDTF">2021-09-09T15:14:00Z</dcterms:created>
  <dcterms:modified xsi:type="dcterms:W3CDTF">2021-09-09T15:14:00Z</dcterms:modified>
</cp:coreProperties>
</file>